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14" w:rsidRDefault="00A66F14" w:rsidP="0067125A">
      <w:pPr>
        <w:jc w:val="center"/>
        <w:rPr>
          <w:b/>
          <w:sz w:val="24"/>
          <w:szCs w:val="24"/>
        </w:rPr>
      </w:pPr>
    </w:p>
    <w:p w:rsidR="00EA3973" w:rsidRDefault="0067125A" w:rsidP="0067125A">
      <w:pPr>
        <w:jc w:val="center"/>
        <w:rPr>
          <w:b/>
          <w:sz w:val="24"/>
          <w:szCs w:val="24"/>
        </w:rPr>
      </w:pPr>
      <w:r w:rsidRPr="00F733EE">
        <w:rPr>
          <w:b/>
          <w:sz w:val="24"/>
          <w:szCs w:val="24"/>
        </w:rPr>
        <w:t xml:space="preserve">Пояснительная записка </w:t>
      </w:r>
    </w:p>
    <w:p w:rsidR="00EA3973" w:rsidRDefault="0067125A" w:rsidP="0067125A">
      <w:pPr>
        <w:jc w:val="center"/>
        <w:rPr>
          <w:sz w:val="28"/>
          <w:szCs w:val="28"/>
          <w:u w:val="single"/>
        </w:rPr>
      </w:pPr>
      <w:r w:rsidRPr="00EA3973">
        <w:rPr>
          <w:sz w:val="28"/>
          <w:szCs w:val="28"/>
        </w:rPr>
        <w:t>к</w:t>
      </w:r>
      <w:r w:rsidR="00EA3973" w:rsidRPr="00EA3973">
        <w:rPr>
          <w:sz w:val="28"/>
          <w:szCs w:val="28"/>
        </w:rPr>
        <w:t xml:space="preserve"> </w:t>
      </w:r>
      <w:r w:rsidRPr="00EA3973">
        <w:rPr>
          <w:sz w:val="28"/>
          <w:szCs w:val="28"/>
        </w:rPr>
        <w:t xml:space="preserve">проекту </w:t>
      </w:r>
      <w:r w:rsidR="00C95E4F">
        <w:rPr>
          <w:sz w:val="28"/>
          <w:szCs w:val="28"/>
          <w:u w:val="single"/>
        </w:rPr>
        <w:t xml:space="preserve">постановления </w:t>
      </w:r>
      <w:proofErr w:type="gramStart"/>
      <w:r w:rsidR="00C95E4F">
        <w:rPr>
          <w:sz w:val="28"/>
          <w:szCs w:val="28"/>
          <w:u w:val="single"/>
        </w:rPr>
        <w:t>администрации</w:t>
      </w:r>
      <w:r w:rsidR="0057068B">
        <w:rPr>
          <w:sz w:val="28"/>
          <w:szCs w:val="28"/>
          <w:u w:val="single"/>
        </w:rPr>
        <w:t xml:space="preserve"> </w:t>
      </w:r>
      <w:r w:rsidR="00EA3973" w:rsidRPr="00EA3973">
        <w:rPr>
          <w:sz w:val="28"/>
          <w:szCs w:val="28"/>
          <w:u w:val="single"/>
        </w:rPr>
        <w:t xml:space="preserve"> городского</w:t>
      </w:r>
      <w:proofErr w:type="gramEnd"/>
      <w:r w:rsidR="00EA3973" w:rsidRPr="00EA3973">
        <w:rPr>
          <w:sz w:val="28"/>
          <w:szCs w:val="28"/>
          <w:u w:val="single"/>
        </w:rPr>
        <w:t xml:space="preserve"> округа город Октябрьский Республики Башкортостан</w:t>
      </w:r>
    </w:p>
    <w:p w:rsidR="0067125A" w:rsidRPr="0057068B" w:rsidRDefault="00C558E5" w:rsidP="0057068B">
      <w:pPr>
        <w:jc w:val="center"/>
        <w:rPr>
          <w:sz w:val="28"/>
          <w:szCs w:val="28"/>
          <w:u w:val="single"/>
        </w:rPr>
      </w:pPr>
      <w:r w:rsidRPr="00F733EE">
        <w:rPr>
          <w:sz w:val="24"/>
          <w:szCs w:val="24"/>
        </w:rPr>
        <w:t xml:space="preserve"> </w:t>
      </w:r>
      <w:r w:rsidR="0067125A" w:rsidRPr="00F733EE">
        <w:rPr>
          <w:sz w:val="24"/>
          <w:szCs w:val="24"/>
        </w:rPr>
        <w:t>«</w:t>
      </w:r>
      <w:r w:rsidR="00EA3973" w:rsidRPr="00EA3973">
        <w:rPr>
          <w:sz w:val="28"/>
          <w:szCs w:val="28"/>
          <w:u w:val="single"/>
        </w:rPr>
        <w:t xml:space="preserve">О внесении изменений в </w:t>
      </w:r>
      <w:r w:rsidR="00C95E4F">
        <w:rPr>
          <w:sz w:val="28"/>
          <w:szCs w:val="28"/>
          <w:u w:val="single"/>
        </w:rPr>
        <w:t>муниципальную программу «Развитие и поддержка малого и среднего предпринимательства в городском округе город Октябрьский Республики Башкортостан</w:t>
      </w:r>
      <w:r w:rsidR="0067125A" w:rsidRPr="00F733EE">
        <w:rPr>
          <w:sz w:val="24"/>
          <w:szCs w:val="24"/>
        </w:rPr>
        <w:t>»</w:t>
      </w:r>
    </w:p>
    <w:p w:rsidR="0067125A" w:rsidRPr="00F733EE" w:rsidRDefault="0067125A" w:rsidP="0067125A">
      <w:pPr>
        <w:rPr>
          <w:sz w:val="24"/>
          <w:szCs w:val="24"/>
        </w:rPr>
      </w:pPr>
    </w:p>
    <w:p w:rsidR="0067125A" w:rsidRPr="00F733EE" w:rsidRDefault="0067125A" w:rsidP="0067125A">
      <w:pPr>
        <w:pStyle w:val="a7"/>
        <w:numPr>
          <w:ilvl w:val="0"/>
          <w:numId w:val="1"/>
        </w:numPr>
        <w:spacing w:after="0"/>
        <w:ind w:left="0"/>
        <w:jc w:val="center"/>
        <w:rPr>
          <w:rFonts w:cs="Times New Roman"/>
          <w:b/>
          <w:sz w:val="24"/>
          <w:szCs w:val="24"/>
        </w:rPr>
      </w:pPr>
      <w:r w:rsidRPr="00F733EE">
        <w:rPr>
          <w:rFonts w:cs="Times New Roman"/>
          <w:b/>
          <w:sz w:val="24"/>
          <w:szCs w:val="24"/>
        </w:rPr>
        <w:t>Общая информация</w:t>
      </w:r>
    </w:p>
    <w:p w:rsidR="0067125A" w:rsidRPr="00F733EE" w:rsidRDefault="0067125A" w:rsidP="0067125A">
      <w:pPr>
        <w:pStyle w:val="a7"/>
        <w:spacing w:after="0"/>
        <w:ind w:left="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3"/>
        <w:gridCol w:w="3379"/>
        <w:gridCol w:w="5559"/>
      </w:tblGrid>
      <w:tr w:rsidR="0067125A" w:rsidRPr="00F733EE" w:rsidTr="00F70CD5">
        <w:tc>
          <w:tcPr>
            <w:tcW w:w="331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1.1.</w:t>
            </w:r>
          </w:p>
        </w:tc>
        <w:tc>
          <w:tcPr>
            <w:tcW w:w="4669" w:type="pct"/>
            <w:gridSpan w:val="2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2"/>
              </w:rPr>
            </w:pPr>
            <w:r w:rsidRPr="00F733EE">
              <w:rPr>
                <w:sz w:val="22"/>
              </w:rPr>
              <w:t xml:space="preserve">Разработчик проекта нормативного правового акта: </w:t>
            </w:r>
          </w:p>
          <w:p w:rsidR="0067125A" w:rsidRPr="003341AC" w:rsidRDefault="00C558E5" w:rsidP="00C5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A3973" w:rsidRPr="003341AC">
              <w:rPr>
                <w:sz w:val="28"/>
                <w:szCs w:val="28"/>
              </w:rPr>
              <w:t xml:space="preserve">тдел </w:t>
            </w:r>
            <w:r w:rsidR="00C95E4F">
              <w:rPr>
                <w:sz w:val="28"/>
                <w:szCs w:val="28"/>
              </w:rPr>
              <w:t xml:space="preserve">по развитию предпринимательства и потребительского рынка </w:t>
            </w:r>
            <w:r w:rsidR="00EA3973" w:rsidRPr="003341AC">
              <w:rPr>
                <w:sz w:val="28"/>
                <w:szCs w:val="28"/>
              </w:rPr>
              <w:t>администрации</w:t>
            </w:r>
          </w:p>
          <w:p w:rsidR="0067125A" w:rsidRPr="00F733EE" w:rsidRDefault="0067125A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i/>
                <w:sz w:val="22"/>
              </w:rPr>
            </w:pPr>
          </w:p>
        </w:tc>
      </w:tr>
      <w:tr w:rsidR="0067125A" w:rsidRPr="00F733EE" w:rsidTr="00F70CD5">
        <w:tc>
          <w:tcPr>
            <w:tcW w:w="331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1.2.</w:t>
            </w:r>
          </w:p>
        </w:tc>
        <w:tc>
          <w:tcPr>
            <w:tcW w:w="4669" w:type="pct"/>
            <w:gridSpan w:val="2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2"/>
              </w:rPr>
            </w:pPr>
            <w:r w:rsidRPr="00F733EE">
              <w:rPr>
                <w:sz w:val="22"/>
              </w:rPr>
              <w:t xml:space="preserve">Сведения о соисполнителях: </w:t>
            </w:r>
          </w:p>
          <w:p w:rsidR="0067125A" w:rsidRPr="00F733EE" w:rsidRDefault="0057068B" w:rsidP="0057068B">
            <w:pPr>
              <w:pBdr>
                <w:bottom w:val="single" w:sz="4" w:space="1" w:color="auto"/>
              </w:pBd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67125A" w:rsidRPr="00F733EE" w:rsidRDefault="0067125A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sz w:val="22"/>
              </w:rPr>
            </w:pPr>
          </w:p>
        </w:tc>
      </w:tr>
      <w:tr w:rsidR="0067125A" w:rsidRPr="00F733EE" w:rsidTr="00F70CD5">
        <w:tc>
          <w:tcPr>
            <w:tcW w:w="331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1.3.</w:t>
            </w:r>
          </w:p>
        </w:tc>
        <w:tc>
          <w:tcPr>
            <w:tcW w:w="4669" w:type="pct"/>
            <w:gridSpan w:val="2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2"/>
              </w:rPr>
            </w:pPr>
            <w:r w:rsidRPr="00F733EE">
              <w:rPr>
                <w:sz w:val="22"/>
              </w:rPr>
              <w:t xml:space="preserve">Вид и наименование проекта нормативного правового акта: </w:t>
            </w:r>
          </w:p>
          <w:p w:rsidR="00F707A4" w:rsidRPr="00F707A4" w:rsidRDefault="00C558E5" w:rsidP="00F707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A3973" w:rsidRPr="0057068B">
              <w:rPr>
                <w:sz w:val="28"/>
                <w:szCs w:val="28"/>
              </w:rPr>
              <w:t>роект</w:t>
            </w:r>
            <w:r w:rsidR="00C95E4F">
              <w:rPr>
                <w:sz w:val="28"/>
                <w:szCs w:val="28"/>
              </w:rPr>
              <w:t xml:space="preserve"> постановления </w:t>
            </w:r>
            <w:proofErr w:type="gramStart"/>
            <w:r w:rsidR="00C95E4F">
              <w:rPr>
                <w:sz w:val="28"/>
                <w:szCs w:val="28"/>
              </w:rPr>
              <w:t xml:space="preserve">администрации </w:t>
            </w:r>
            <w:r w:rsidR="00EA3973" w:rsidRPr="0057068B">
              <w:rPr>
                <w:sz w:val="28"/>
                <w:szCs w:val="28"/>
              </w:rPr>
              <w:t xml:space="preserve"> </w:t>
            </w:r>
            <w:r w:rsidR="00C95E4F" w:rsidRPr="00C95E4F">
              <w:rPr>
                <w:sz w:val="24"/>
                <w:szCs w:val="24"/>
              </w:rPr>
              <w:t>«</w:t>
            </w:r>
            <w:proofErr w:type="gramEnd"/>
            <w:r w:rsidR="00C95E4F" w:rsidRPr="00C95E4F">
              <w:rPr>
                <w:sz w:val="28"/>
                <w:szCs w:val="28"/>
              </w:rPr>
              <w:t>О внесении изменений в муниципальную программу «Развитие и поддержка малого и среднего предпринимательства в городском округе город Октябрьский Республики Башкортостан</w:t>
            </w:r>
            <w:r w:rsidR="00C95E4F" w:rsidRPr="00C95E4F">
              <w:rPr>
                <w:sz w:val="24"/>
                <w:szCs w:val="24"/>
              </w:rPr>
              <w:t>»</w:t>
            </w:r>
          </w:p>
          <w:p w:rsidR="0067125A" w:rsidRPr="0057068B" w:rsidRDefault="0067125A" w:rsidP="0057068B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67125A" w:rsidRPr="00F733EE" w:rsidTr="00F70CD5">
        <w:tc>
          <w:tcPr>
            <w:tcW w:w="331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1.4.</w:t>
            </w:r>
          </w:p>
        </w:tc>
        <w:tc>
          <w:tcPr>
            <w:tcW w:w="4669" w:type="pct"/>
            <w:gridSpan w:val="2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2"/>
              </w:rPr>
            </w:pPr>
            <w:r w:rsidRPr="00F733EE">
              <w:rPr>
                <w:sz w:val="22"/>
              </w:rPr>
              <w:t xml:space="preserve">Описание проблемы, на решение которой направлен предлагаемый способ регулирования: </w:t>
            </w:r>
          </w:p>
          <w:p w:rsidR="0067125A" w:rsidRPr="00F733EE" w:rsidRDefault="000E337A" w:rsidP="00E94B86">
            <w:pPr>
              <w:widowControl/>
              <w:jc w:val="both"/>
              <w:rPr>
                <w:sz w:val="22"/>
              </w:rPr>
            </w:pPr>
            <w:r>
              <w:rPr>
                <w:sz w:val="28"/>
                <w:szCs w:val="28"/>
              </w:rPr>
              <w:t>Приведение положений муниципальной программы «Развитие малого и среднего предпринимательства», утвержденной поста</w:t>
            </w:r>
            <w:r w:rsidR="00E94B86">
              <w:rPr>
                <w:sz w:val="28"/>
                <w:szCs w:val="28"/>
              </w:rPr>
              <w:t>новлением администрации от 28.12.2022</w:t>
            </w:r>
            <w:r>
              <w:rPr>
                <w:sz w:val="28"/>
                <w:szCs w:val="28"/>
              </w:rPr>
              <w:t xml:space="preserve"> №</w:t>
            </w:r>
            <w:r w:rsidR="00E94B86">
              <w:rPr>
                <w:sz w:val="28"/>
                <w:szCs w:val="28"/>
              </w:rPr>
              <w:t>3732</w:t>
            </w:r>
            <w:r>
              <w:rPr>
                <w:sz w:val="28"/>
                <w:szCs w:val="28"/>
              </w:rPr>
              <w:t xml:space="preserve">, в соответствии с </w:t>
            </w:r>
            <w:r w:rsidR="00AC4BE5">
              <w:rPr>
                <w:sz w:val="28"/>
                <w:szCs w:val="28"/>
              </w:rPr>
              <w:t>Правилами</w:t>
            </w:r>
            <w:r>
              <w:rPr>
                <w:sz w:val="28"/>
                <w:szCs w:val="28"/>
              </w:rPr>
              <w:t xml:space="preserve"> предоставления </w:t>
            </w:r>
            <w:r w:rsidR="00E94B86">
              <w:rPr>
                <w:sz w:val="28"/>
                <w:szCs w:val="28"/>
              </w:rPr>
              <w:t xml:space="preserve">и распределения </w:t>
            </w:r>
            <w:r w:rsidR="00AC4BE5">
              <w:rPr>
                <w:sz w:val="28"/>
                <w:szCs w:val="28"/>
              </w:rPr>
              <w:t>субсидий из бюджета Республики Башкортостан бюджетам муниципальных районов и городских округов Республики Башкортостан на поддержку мероприятий муниципальных программ развития субъектов малого и среднего предпринимательства, а также физических лиц, применяющих специальный налоговый режим «Налог на профессиональный доход»</w:t>
            </w:r>
            <w:r w:rsidR="00925629">
              <w:rPr>
                <w:sz w:val="28"/>
                <w:szCs w:val="28"/>
              </w:rPr>
              <w:t xml:space="preserve"> государственной программы «Развитие малого и среднего предпринимательства в Республике Башкортостан»</w:t>
            </w:r>
            <w:r w:rsidR="00AC4BE5">
              <w:rPr>
                <w:sz w:val="28"/>
                <w:szCs w:val="28"/>
              </w:rPr>
              <w:t xml:space="preserve"> </w:t>
            </w:r>
          </w:p>
        </w:tc>
      </w:tr>
      <w:tr w:rsidR="0067125A" w:rsidRPr="00F733EE" w:rsidTr="00F70CD5">
        <w:tc>
          <w:tcPr>
            <w:tcW w:w="331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1.5.</w:t>
            </w:r>
          </w:p>
        </w:tc>
        <w:tc>
          <w:tcPr>
            <w:tcW w:w="4669" w:type="pct"/>
            <w:gridSpan w:val="2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2"/>
              </w:rPr>
            </w:pPr>
            <w:r w:rsidRPr="00F733EE">
              <w:rPr>
                <w:sz w:val="22"/>
              </w:rPr>
              <w:t xml:space="preserve">Основание для разработки проекта нормативного правового акта: </w:t>
            </w:r>
          </w:p>
          <w:p w:rsidR="0067125A" w:rsidRPr="00710450" w:rsidRDefault="00710450" w:rsidP="00540AF0">
            <w:pPr>
              <w:jc w:val="both"/>
              <w:outlineLvl w:val="5"/>
              <w:rPr>
                <w:bCs/>
                <w:sz w:val="26"/>
                <w:szCs w:val="26"/>
              </w:rPr>
            </w:pPr>
            <w:r w:rsidRPr="00710450">
              <w:rPr>
                <w:bCs/>
                <w:sz w:val="26"/>
                <w:szCs w:val="26"/>
              </w:rPr>
              <w:t xml:space="preserve">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законом Республики Башкортостан от 28.12.2007 №511-з «О развитии малого и среднего предпринимательства в Республике Башкортостан», постановлением Правительства Республики Башкортостан от 17.01.2024 №5 «Об утверждении государственной программы «Развитие и поддержка малого и среднего предпринимательства в Республике Башкортостан»;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</w:t>
            </w:r>
            <w:r w:rsidRPr="00710450">
              <w:rPr>
                <w:bCs/>
                <w:sz w:val="26"/>
                <w:szCs w:val="26"/>
              </w:rPr>
              <w:lastRenderedPageBreak/>
              <w:t>производителям товаров, работ, услуг и проведение отборов получателей указанных субсидий, в том числе грантов в форме субсидий»</w:t>
            </w:r>
          </w:p>
        </w:tc>
      </w:tr>
      <w:tr w:rsidR="0067125A" w:rsidRPr="00F733EE" w:rsidTr="00F70CD5">
        <w:tc>
          <w:tcPr>
            <w:tcW w:w="331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lastRenderedPageBreak/>
              <w:t>1.6.</w:t>
            </w:r>
          </w:p>
        </w:tc>
        <w:tc>
          <w:tcPr>
            <w:tcW w:w="4669" w:type="pct"/>
            <w:gridSpan w:val="2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2"/>
              </w:rPr>
            </w:pPr>
            <w:r w:rsidRPr="00F733EE">
              <w:rPr>
                <w:sz w:val="22"/>
              </w:rPr>
              <w:t>Краткое описание целей предлагаемого регулирования:</w:t>
            </w:r>
          </w:p>
          <w:p w:rsidR="0067125A" w:rsidRPr="00F733EE" w:rsidRDefault="00FA5713" w:rsidP="00E94B86">
            <w:pPr>
              <w:widowControl/>
              <w:jc w:val="both"/>
              <w:rPr>
                <w:sz w:val="22"/>
              </w:rPr>
            </w:pPr>
            <w:r>
              <w:rPr>
                <w:sz w:val="28"/>
                <w:szCs w:val="28"/>
              </w:rPr>
              <w:t>Приведение положений муниципальной программы «Развитие малого и среднего предпринимательства», утвержденной постановлением администрации от 28.12.2022 №3732, в соответствии с Правилами предоставления и распределения субсидий из бюджета Республики Башкортостан бюджетам муниципальных районов и городских округов Республики Башкортостан на поддержку мероприятий муниципальных программ развития субъектов малого и среднего предпринимательства, а также физических лиц, применяющих специальный налоговый режим «Налог на профессиональный доход» государственной программы «Развитие малого и среднего предпринимательства в Республике Башкортостан»</w:t>
            </w:r>
          </w:p>
        </w:tc>
      </w:tr>
      <w:tr w:rsidR="0067125A" w:rsidRPr="00F733EE" w:rsidTr="00F70CD5">
        <w:tc>
          <w:tcPr>
            <w:tcW w:w="331" w:type="pct"/>
            <w:vMerge w:val="restar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1.7.</w:t>
            </w:r>
          </w:p>
        </w:tc>
        <w:tc>
          <w:tcPr>
            <w:tcW w:w="4669" w:type="pct"/>
            <w:gridSpan w:val="2"/>
          </w:tcPr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Контактная информация исполнителя:</w:t>
            </w:r>
          </w:p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фамилия, имя, отчество ответственного лица:</w:t>
            </w:r>
          </w:p>
        </w:tc>
      </w:tr>
      <w:tr w:rsidR="0067125A" w:rsidRPr="00F733EE" w:rsidTr="00F70CD5">
        <w:tc>
          <w:tcPr>
            <w:tcW w:w="331" w:type="pct"/>
            <w:vMerge/>
          </w:tcPr>
          <w:p w:rsidR="0067125A" w:rsidRPr="00F733EE" w:rsidRDefault="0067125A" w:rsidP="00F70CD5">
            <w:pPr>
              <w:jc w:val="center"/>
              <w:rPr>
                <w:sz w:val="22"/>
              </w:rPr>
            </w:pP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Ф.И.О. ответственного лица: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5A" w:rsidRPr="00C558E5" w:rsidRDefault="00812F69" w:rsidP="00F70CD5">
            <w:pPr>
              <w:jc w:val="center"/>
              <w:rPr>
                <w:sz w:val="28"/>
                <w:szCs w:val="26"/>
              </w:rPr>
            </w:pPr>
            <w:proofErr w:type="spellStart"/>
            <w:r w:rsidRPr="00C558E5">
              <w:rPr>
                <w:sz w:val="28"/>
                <w:szCs w:val="26"/>
              </w:rPr>
              <w:t>Гизатуллин</w:t>
            </w:r>
            <w:proofErr w:type="spellEnd"/>
            <w:r w:rsidRPr="00C558E5">
              <w:rPr>
                <w:sz w:val="28"/>
                <w:szCs w:val="26"/>
              </w:rPr>
              <w:t xml:space="preserve"> Руслан </w:t>
            </w:r>
            <w:proofErr w:type="spellStart"/>
            <w:r w:rsidRPr="00C558E5">
              <w:rPr>
                <w:sz w:val="28"/>
                <w:szCs w:val="26"/>
              </w:rPr>
              <w:t>Рашитович</w:t>
            </w:r>
            <w:proofErr w:type="spellEnd"/>
          </w:p>
        </w:tc>
      </w:tr>
      <w:tr w:rsidR="0067125A" w:rsidRPr="00F733EE" w:rsidTr="00F70CD5">
        <w:tc>
          <w:tcPr>
            <w:tcW w:w="331" w:type="pct"/>
            <w:vMerge/>
          </w:tcPr>
          <w:p w:rsidR="0067125A" w:rsidRPr="00F733EE" w:rsidRDefault="0067125A" w:rsidP="00F70CD5">
            <w:pPr>
              <w:jc w:val="center"/>
              <w:rPr>
                <w:sz w:val="22"/>
              </w:rPr>
            </w:pP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должность и наименование структурного подразделения: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5A" w:rsidRPr="00C558E5" w:rsidRDefault="00C558E5" w:rsidP="00812F69">
            <w:pPr>
              <w:jc w:val="center"/>
              <w:rPr>
                <w:sz w:val="28"/>
                <w:szCs w:val="26"/>
              </w:rPr>
            </w:pPr>
            <w:r w:rsidRPr="00C558E5">
              <w:rPr>
                <w:sz w:val="28"/>
                <w:szCs w:val="26"/>
              </w:rPr>
              <w:t>Н</w:t>
            </w:r>
            <w:r w:rsidR="00EA3973" w:rsidRPr="00C558E5">
              <w:rPr>
                <w:sz w:val="28"/>
                <w:szCs w:val="26"/>
              </w:rPr>
              <w:t xml:space="preserve">ачальник отдела </w:t>
            </w:r>
            <w:r w:rsidR="00812F69" w:rsidRPr="00C558E5">
              <w:rPr>
                <w:sz w:val="28"/>
                <w:szCs w:val="26"/>
              </w:rPr>
              <w:t>по развитию предпринимательства и потребительского рынка</w:t>
            </w:r>
            <w:r w:rsidR="00EA3973" w:rsidRPr="00C558E5">
              <w:rPr>
                <w:sz w:val="28"/>
                <w:szCs w:val="26"/>
              </w:rPr>
              <w:t xml:space="preserve"> администрации</w:t>
            </w:r>
          </w:p>
        </w:tc>
      </w:tr>
      <w:tr w:rsidR="0067125A" w:rsidRPr="00F733EE" w:rsidTr="00F70CD5">
        <w:trPr>
          <w:trHeight w:val="249"/>
        </w:trPr>
        <w:tc>
          <w:tcPr>
            <w:tcW w:w="331" w:type="pct"/>
            <w:vMerge/>
          </w:tcPr>
          <w:p w:rsidR="0067125A" w:rsidRPr="00F733EE" w:rsidRDefault="0067125A" w:rsidP="00F70CD5">
            <w:pPr>
              <w:jc w:val="center"/>
              <w:rPr>
                <w:sz w:val="22"/>
              </w:rPr>
            </w:pP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почтовый адрес: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5A" w:rsidRPr="00C558E5" w:rsidRDefault="00812F69" w:rsidP="00F70CD5">
            <w:pPr>
              <w:jc w:val="center"/>
              <w:rPr>
                <w:sz w:val="28"/>
                <w:szCs w:val="26"/>
              </w:rPr>
            </w:pPr>
            <w:r w:rsidRPr="00C558E5">
              <w:rPr>
                <w:sz w:val="28"/>
                <w:szCs w:val="26"/>
              </w:rPr>
              <w:t xml:space="preserve">ул. Чапаева, 23, </w:t>
            </w:r>
            <w:proofErr w:type="spellStart"/>
            <w:r w:rsidRPr="00C558E5">
              <w:rPr>
                <w:sz w:val="28"/>
                <w:szCs w:val="26"/>
              </w:rPr>
              <w:t>каб</w:t>
            </w:r>
            <w:proofErr w:type="spellEnd"/>
            <w:r w:rsidRPr="00C558E5">
              <w:rPr>
                <w:sz w:val="28"/>
                <w:szCs w:val="26"/>
              </w:rPr>
              <w:t xml:space="preserve">. </w:t>
            </w:r>
            <w:r w:rsidR="009B520E" w:rsidRPr="00C558E5">
              <w:rPr>
                <w:sz w:val="28"/>
                <w:szCs w:val="26"/>
              </w:rPr>
              <w:t>2</w:t>
            </w:r>
            <w:r w:rsidRPr="00C558E5">
              <w:rPr>
                <w:sz w:val="28"/>
                <w:szCs w:val="26"/>
              </w:rPr>
              <w:t>,</w:t>
            </w:r>
            <w:r w:rsidR="00C558E5">
              <w:rPr>
                <w:sz w:val="28"/>
                <w:szCs w:val="26"/>
              </w:rPr>
              <w:t xml:space="preserve"> </w:t>
            </w:r>
            <w:r w:rsidRPr="00C558E5">
              <w:rPr>
                <w:sz w:val="28"/>
                <w:szCs w:val="26"/>
              </w:rPr>
              <w:t>9</w:t>
            </w:r>
          </w:p>
        </w:tc>
      </w:tr>
      <w:tr w:rsidR="0067125A" w:rsidRPr="00F733EE" w:rsidTr="00F70CD5">
        <w:trPr>
          <w:trHeight w:val="249"/>
        </w:trPr>
        <w:tc>
          <w:tcPr>
            <w:tcW w:w="331" w:type="pct"/>
            <w:vMerge/>
          </w:tcPr>
          <w:p w:rsidR="0067125A" w:rsidRPr="00F733EE" w:rsidRDefault="0067125A" w:rsidP="00F70CD5">
            <w:pPr>
              <w:jc w:val="center"/>
              <w:rPr>
                <w:sz w:val="22"/>
              </w:rPr>
            </w:pP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адрес электронной почты: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5A" w:rsidRPr="00C558E5" w:rsidRDefault="00360D71" w:rsidP="00F70CD5">
            <w:pPr>
              <w:jc w:val="center"/>
              <w:rPr>
                <w:sz w:val="28"/>
                <w:szCs w:val="26"/>
              </w:rPr>
            </w:pPr>
            <w:r w:rsidRPr="00C558E5">
              <w:rPr>
                <w:sz w:val="28"/>
                <w:szCs w:val="26"/>
                <w:lang w:val="en-US"/>
              </w:rPr>
              <w:t>56.gizatullin.rr@bashkortostan.ru</w:t>
            </w:r>
          </w:p>
        </w:tc>
      </w:tr>
      <w:tr w:rsidR="0067125A" w:rsidRPr="00F733EE" w:rsidTr="00F70CD5">
        <w:trPr>
          <w:trHeight w:val="249"/>
        </w:trPr>
        <w:tc>
          <w:tcPr>
            <w:tcW w:w="331" w:type="pct"/>
            <w:vMerge/>
          </w:tcPr>
          <w:p w:rsidR="0067125A" w:rsidRPr="00F733EE" w:rsidRDefault="0067125A" w:rsidP="00F70CD5">
            <w:pPr>
              <w:jc w:val="center"/>
              <w:rPr>
                <w:sz w:val="22"/>
              </w:rPr>
            </w:pP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Телефон: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5A" w:rsidRPr="00C558E5" w:rsidRDefault="00EA3973" w:rsidP="00F70CD5">
            <w:pPr>
              <w:jc w:val="center"/>
              <w:rPr>
                <w:sz w:val="28"/>
                <w:szCs w:val="26"/>
              </w:rPr>
            </w:pPr>
            <w:r w:rsidRPr="00C558E5">
              <w:rPr>
                <w:sz w:val="28"/>
                <w:szCs w:val="26"/>
              </w:rPr>
              <w:t>6-73-20</w:t>
            </w:r>
          </w:p>
        </w:tc>
      </w:tr>
    </w:tbl>
    <w:p w:rsidR="0067125A" w:rsidRPr="00F733EE" w:rsidRDefault="0067125A" w:rsidP="0067125A">
      <w:pPr>
        <w:jc w:val="center"/>
        <w:rPr>
          <w:sz w:val="22"/>
        </w:rPr>
      </w:pPr>
    </w:p>
    <w:p w:rsidR="0067125A" w:rsidRPr="00F733EE" w:rsidRDefault="0067125A" w:rsidP="0067125A">
      <w:pPr>
        <w:pStyle w:val="a7"/>
        <w:numPr>
          <w:ilvl w:val="0"/>
          <w:numId w:val="1"/>
        </w:numPr>
        <w:spacing w:after="0"/>
        <w:ind w:left="0"/>
        <w:jc w:val="center"/>
        <w:rPr>
          <w:rFonts w:cs="Times New Roman"/>
          <w:b/>
          <w:sz w:val="22"/>
        </w:rPr>
      </w:pPr>
      <w:r w:rsidRPr="00F733EE">
        <w:rPr>
          <w:rFonts w:cs="Times New Roman"/>
          <w:b/>
          <w:sz w:val="22"/>
        </w:rPr>
        <w:t xml:space="preserve">Степень регулирующего воздействия нормативного правового акта </w:t>
      </w:r>
    </w:p>
    <w:p w:rsidR="0067125A" w:rsidRPr="00F733EE" w:rsidRDefault="0067125A" w:rsidP="0067125A">
      <w:pPr>
        <w:pStyle w:val="a7"/>
        <w:spacing w:after="0"/>
        <w:ind w:left="0"/>
        <w:rPr>
          <w:rFonts w:cs="Times New Roman"/>
          <w:b/>
          <w:sz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3"/>
        <w:gridCol w:w="4382"/>
        <w:gridCol w:w="4416"/>
      </w:tblGrid>
      <w:tr w:rsidR="0067125A" w:rsidRPr="00F733EE" w:rsidTr="00F70CD5">
        <w:tc>
          <w:tcPr>
            <w:tcW w:w="404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  <w:lang w:val="en-US"/>
              </w:rPr>
              <w:t>2</w:t>
            </w:r>
            <w:r w:rsidRPr="00F733EE">
              <w:rPr>
                <w:rFonts w:cs="Times New Roman"/>
                <w:sz w:val="22"/>
              </w:rPr>
              <w:t>.1.</w:t>
            </w:r>
          </w:p>
        </w:tc>
        <w:tc>
          <w:tcPr>
            <w:tcW w:w="2289" w:type="pct"/>
          </w:tcPr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 xml:space="preserve">Степень регулирующего воздействия проекта нормативного правового акта: </w:t>
            </w:r>
          </w:p>
        </w:tc>
        <w:tc>
          <w:tcPr>
            <w:tcW w:w="2307" w:type="pct"/>
            <w:tcBorders>
              <w:bottom w:val="single" w:sz="4" w:space="0" w:color="auto"/>
            </w:tcBorders>
          </w:tcPr>
          <w:p w:rsidR="0067125A" w:rsidRPr="003341AC" w:rsidRDefault="00F02BE0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szCs w:val="28"/>
                <w:u w:val="single"/>
              </w:rPr>
            </w:pPr>
            <w:r>
              <w:rPr>
                <w:rFonts w:cs="Times New Roman"/>
                <w:szCs w:val="28"/>
                <w:u w:val="single"/>
              </w:rPr>
              <w:t>средняя</w:t>
            </w:r>
          </w:p>
          <w:p w:rsidR="0067125A" w:rsidRPr="00F733EE" w:rsidRDefault="00F02BE0" w:rsidP="00F02BE0">
            <w:pPr>
              <w:pStyle w:val="a7"/>
              <w:spacing w:after="0"/>
              <w:ind w:left="0"/>
              <w:jc w:val="center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 xml:space="preserve">(высокая / </w:t>
            </w:r>
            <w:proofErr w:type="gramStart"/>
            <w:r>
              <w:rPr>
                <w:rFonts w:cs="Times New Roman"/>
                <w:i/>
                <w:sz w:val="22"/>
              </w:rPr>
              <w:t xml:space="preserve">средняя </w:t>
            </w:r>
            <w:r w:rsidR="0067125A" w:rsidRPr="00F733EE">
              <w:rPr>
                <w:rFonts w:cs="Times New Roman"/>
                <w:i/>
                <w:sz w:val="22"/>
              </w:rPr>
              <w:t>)</w:t>
            </w:r>
            <w:proofErr w:type="gramEnd"/>
          </w:p>
        </w:tc>
      </w:tr>
      <w:tr w:rsidR="0067125A" w:rsidRPr="00F733EE" w:rsidTr="00F70CD5">
        <w:tc>
          <w:tcPr>
            <w:tcW w:w="404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2.2.</w:t>
            </w:r>
          </w:p>
        </w:tc>
        <w:tc>
          <w:tcPr>
            <w:tcW w:w="4596" w:type="pct"/>
            <w:gridSpan w:val="2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ind w:right="-358"/>
              <w:rPr>
                <w:sz w:val="22"/>
              </w:rPr>
            </w:pPr>
            <w:r w:rsidRPr="00F733EE">
              <w:rPr>
                <w:sz w:val="22"/>
              </w:rPr>
              <w:t xml:space="preserve">Обоснование отнесения проекта нормативного правового акта к определенной степени регулирующего воздействия: </w:t>
            </w:r>
          </w:p>
          <w:p w:rsidR="0067125A" w:rsidRPr="003341AC" w:rsidRDefault="00921C39" w:rsidP="00C558E5">
            <w:pPr>
              <w:jc w:val="both"/>
              <w:rPr>
                <w:sz w:val="28"/>
                <w:szCs w:val="28"/>
              </w:rPr>
            </w:pPr>
            <w:r w:rsidRPr="003341AC">
              <w:rPr>
                <w:sz w:val="28"/>
                <w:szCs w:val="28"/>
              </w:rPr>
              <w:t xml:space="preserve">Проект </w:t>
            </w:r>
            <w:r w:rsidR="00F02BE0">
              <w:rPr>
                <w:sz w:val="28"/>
                <w:szCs w:val="28"/>
              </w:rPr>
              <w:t>решения</w:t>
            </w:r>
            <w:r w:rsidRPr="003341AC">
              <w:rPr>
                <w:sz w:val="28"/>
                <w:szCs w:val="28"/>
              </w:rPr>
              <w:t xml:space="preserve"> имеет </w:t>
            </w:r>
            <w:r w:rsidR="00F02BE0">
              <w:rPr>
                <w:sz w:val="28"/>
                <w:szCs w:val="28"/>
              </w:rPr>
              <w:t xml:space="preserve">среднюю </w:t>
            </w:r>
            <w:r w:rsidRPr="003341AC">
              <w:rPr>
                <w:sz w:val="28"/>
                <w:szCs w:val="28"/>
              </w:rPr>
              <w:t xml:space="preserve">степень регулирующего воздействия, так как </w:t>
            </w:r>
            <w:r w:rsidR="0057499E">
              <w:rPr>
                <w:sz w:val="28"/>
                <w:szCs w:val="28"/>
              </w:rPr>
              <w:t>содержит положения, частично изменяющие раннее предусмотренные муниципальными нормативными актами городского округа город Октябрьский Республики Башкортостан</w:t>
            </w:r>
            <w:r w:rsidR="00F02BE0">
              <w:rPr>
                <w:sz w:val="28"/>
                <w:szCs w:val="28"/>
              </w:rPr>
              <w:t xml:space="preserve"> </w:t>
            </w:r>
            <w:r w:rsidR="0030010E">
              <w:rPr>
                <w:sz w:val="28"/>
                <w:szCs w:val="28"/>
              </w:rPr>
              <w:t>Республики Башкортостан обязанности для субъектов предпринимательской деятельности</w:t>
            </w:r>
            <w:r w:rsidR="00F02BE0">
              <w:rPr>
                <w:sz w:val="28"/>
                <w:szCs w:val="28"/>
              </w:rPr>
              <w:t xml:space="preserve"> </w:t>
            </w:r>
          </w:p>
          <w:p w:rsidR="0067125A" w:rsidRPr="00F733EE" w:rsidRDefault="0067125A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sz w:val="22"/>
              </w:rPr>
            </w:pPr>
          </w:p>
        </w:tc>
      </w:tr>
    </w:tbl>
    <w:p w:rsidR="0067125A" w:rsidRDefault="0067125A" w:rsidP="0067125A">
      <w:pPr>
        <w:jc w:val="center"/>
        <w:rPr>
          <w:b/>
          <w:sz w:val="22"/>
        </w:rPr>
      </w:pPr>
    </w:p>
    <w:p w:rsidR="0067125A" w:rsidRPr="00F733EE" w:rsidRDefault="0067125A" w:rsidP="0067125A">
      <w:pPr>
        <w:pStyle w:val="a7"/>
        <w:numPr>
          <w:ilvl w:val="0"/>
          <w:numId w:val="1"/>
        </w:numPr>
        <w:spacing w:after="0"/>
        <w:ind w:left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733EE">
        <w:rPr>
          <w:rFonts w:eastAsia="Times New Roman" w:cs="Times New Roman"/>
          <w:b/>
          <w:sz w:val="22"/>
          <w:lang w:eastAsia="ru-RU"/>
        </w:rPr>
        <w:t>Основные группы субъектов предпринимательской и инвест</w:t>
      </w:r>
      <w:r w:rsidRPr="00F733EE">
        <w:rPr>
          <w:rFonts w:eastAsia="Times New Roman" w:cs="Times New Roman"/>
          <w:b/>
          <w:sz w:val="24"/>
          <w:szCs w:val="24"/>
          <w:lang w:eastAsia="ru-RU"/>
        </w:rPr>
        <w:t>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</w:p>
    <w:p w:rsidR="0067125A" w:rsidRPr="00F733EE" w:rsidRDefault="0067125A" w:rsidP="0067125A">
      <w:pPr>
        <w:pStyle w:val="a7"/>
        <w:spacing w:after="0"/>
        <w:ind w:left="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3761"/>
        <w:gridCol w:w="779"/>
        <w:gridCol w:w="4255"/>
      </w:tblGrid>
      <w:tr w:rsidR="0067125A" w:rsidRPr="003341AC" w:rsidTr="00F70CD5">
        <w:trPr>
          <w:trHeight w:val="55"/>
        </w:trPr>
        <w:tc>
          <w:tcPr>
            <w:tcW w:w="405" w:type="pct"/>
          </w:tcPr>
          <w:p w:rsidR="0067125A" w:rsidRPr="003341AC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3341AC">
              <w:rPr>
                <w:rFonts w:cs="Times New Roman"/>
                <w:sz w:val="22"/>
              </w:rPr>
              <w:t>3.1.</w:t>
            </w:r>
          </w:p>
        </w:tc>
        <w:tc>
          <w:tcPr>
            <w:tcW w:w="1965" w:type="pct"/>
          </w:tcPr>
          <w:p w:rsidR="0067125A" w:rsidRPr="003341AC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3341AC">
              <w:rPr>
                <w:rFonts w:cs="Times New Roman"/>
                <w:sz w:val="22"/>
              </w:rPr>
              <w:t>Группа участников отношений:</w:t>
            </w:r>
          </w:p>
        </w:tc>
        <w:tc>
          <w:tcPr>
            <w:tcW w:w="407" w:type="pct"/>
          </w:tcPr>
          <w:p w:rsidR="0067125A" w:rsidRPr="003341AC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3341AC">
              <w:rPr>
                <w:rFonts w:cs="Times New Roman"/>
                <w:sz w:val="22"/>
              </w:rPr>
              <w:t>3.2.</w:t>
            </w:r>
          </w:p>
        </w:tc>
        <w:tc>
          <w:tcPr>
            <w:tcW w:w="2223" w:type="pct"/>
          </w:tcPr>
          <w:p w:rsidR="0067125A" w:rsidRPr="003341AC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3341AC">
              <w:rPr>
                <w:rFonts w:cs="Times New Roman"/>
                <w:sz w:val="22"/>
              </w:rPr>
              <w:t>Оценка количества участников отношений:</w:t>
            </w:r>
          </w:p>
        </w:tc>
      </w:tr>
      <w:tr w:rsidR="0067125A" w:rsidRPr="003341AC" w:rsidTr="00F70CD5">
        <w:trPr>
          <w:trHeight w:val="52"/>
        </w:trPr>
        <w:tc>
          <w:tcPr>
            <w:tcW w:w="5000" w:type="pct"/>
            <w:gridSpan w:val="4"/>
          </w:tcPr>
          <w:p w:rsidR="0067125A" w:rsidRPr="003341AC" w:rsidRDefault="0067125A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sz w:val="22"/>
              </w:rPr>
            </w:pPr>
            <w:r w:rsidRPr="003341AC">
              <w:rPr>
                <w:rFonts w:cs="Times New Roman"/>
                <w:i/>
                <w:sz w:val="22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67125A" w:rsidRPr="003341AC" w:rsidTr="00F70CD5">
        <w:trPr>
          <w:trHeight w:val="52"/>
        </w:trPr>
        <w:tc>
          <w:tcPr>
            <w:tcW w:w="2370" w:type="pct"/>
            <w:gridSpan w:val="2"/>
          </w:tcPr>
          <w:p w:rsidR="0067125A" w:rsidRPr="003341AC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2630" w:type="pct"/>
            <w:gridSpan w:val="2"/>
          </w:tcPr>
          <w:p w:rsidR="0067125A" w:rsidRPr="003341AC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</w:p>
        </w:tc>
      </w:tr>
      <w:tr w:rsidR="0067125A" w:rsidRPr="003341AC" w:rsidTr="00F70CD5">
        <w:trPr>
          <w:trHeight w:val="31"/>
        </w:trPr>
        <w:tc>
          <w:tcPr>
            <w:tcW w:w="5000" w:type="pct"/>
            <w:gridSpan w:val="4"/>
          </w:tcPr>
          <w:p w:rsidR="0067125A" w:rsidRPr="003341AC" w:rsidRDefault="0067125A" w:rsidP="00F70CD5">
            <w:pPr>
              <w:pStyle w:val="a7"/>
              <w:ind w:left="0"/>
              <w:jc w:val="center"/>
              <w:rPr>
                <w:rFonts w:cs="Times New Roman"/>
                <w:i/>
                <w:sz w:val="22"/>
              </w:rPr>
            </w:pPr>
            <w:r w:rsidRPr="003341AC">
              <w:rPr>
                <w:rFonts w:cs="Times New Roman"/>
                <w:i/>
                <w:sz w:val="22"/>
              </w:rPr>
              <w:t>(Описание иной группы участников отношений)</w:t>
            </w:r>
          </w:p>
        </w:tc>
      </w:tr>
      <w:tr w:rsidR="0067125A" w:rsidRPr="00F733EE" w:rsidTr="00F70CD5">
        <w:trPr>
          <w:trHeight w:val="31"/>
        </w:trPr>
        <w:tc>
          <w:tcPr>
            <w:tcW w:w="2370" w:type="pct"/>
            <w:gridSpan w:val="2"/>
          </w:tcPr>
          <w:p w:rsidR="0067125A" w:rsidRPr="00136FDA" w:rsidRDefault="009B520E" w:rsidP="00462F82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3341AC">
              <w:rPr>
                <w:rFonts w:eastAsiaTheme="minorHAnsi"/>
                <w:sz w:val="28"/>
                <w:szCs w:val="28"/>
                <w:lang w:eastAsia="en-US"/>
              </w:rPr>
              <w:t xml:space="preserve">субъекты </w:t>
            </w:r>
            <w:r w:rsidR="00872D3F">
              <w:rPr>
                <w:rFonts w:eastAsiaTheme="minorHAnsi"/>
                <w:sz w:val="28"/>
                <w:szCs w:val="28"/>
                <w:lang w:eastAsia="en-US"/>
              </w:rPr>
              <w:t xml:space="preserve">малого и среднего предпринимательства, физические лица, не являющиеся </w:t>
            </w:r>
            <w:r w:rsidR="00872D3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индивидуальными предпринимателями и применяющими специальный налоговый режим «Налог на профессиональный доход» (</w:t>
            </w:r>
            <w:r w:rsidR="006B79B4">
              <w:rPr>
                <w:rFonts w:eastAsiaTheme="minorHAnsi"/>
                <w:sz w:val="28"/>
                <w:szCs w:val="28"/>
                <w:lang w:eastAsia="en-US"/>
              </w:rPr>
              <w:t>далее -</w:t>
            </w:r>
            <w:proofErr w:type="spellStart"/>
            <w:r w:rsidR="00872D3F">
              <w:rPr>
                <w:rFonts w:eastAsiaTheme="minorHAnsi"/>
                <w:sz w:val="28"/>
                <w:szCs w:val="28"/>
                <w:lang w:eastAsia="en-US"/>
              </w:rPr>
              <w:t>самозанятые</w:t>
            </w:r>
            <w:proofErr w:type="spellEnd"/>
            <w:r w:rsidR="00872D3F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630" w:type="pct"/>
            <w:gridSpan w:val="2"/>
          </w:tcPr>
          <w:p w:rsidR="0067125A" w:rsidRPr="00F733EE" w:rsidRDefault="0067125A" w:rsidP="00F70CD5">
            <w:pPr>
              <w:pStyle w:val="a7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67125A" w:rsidRPr="00F733EE" w:rsidTr="00F70CD5">
        <w:tc>
          <w:tcPr>
            <w:tcW w:w="405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sz w:val="24"/>
                <w:szCs w:val="24"/>
              </w:rPr>
              <w:lastRenderedPageBreak/>
              <w:t>3.</w:t>
            </w:r>
            <w:r w:rsidRPr="00F733EE">
              <w:rPr>
                <w:rFonts w:cs="Times New Roman"/>
                <w:sz w:val="24"/>
                <w:szCs w:val="24"/>
                <w:lang w:val="en-US"/>
              </w:rPr>
              <w:t>3</w:t>
            </w:r>
            <w:r w:rsidRPr="00F733E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95" w:type="pct"/>
            <w:gridSpan w:val="3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Источники данных:</w:t>
            </w:r>
          </w:p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67125A" w:rsidRPr="00F733EE" w:rsidRDefault="0067125A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i/>
                <w:sz w:val="24"/>
                <w:szCs w:val="24"/>
              </w:rPr>
              <w:t>(</w:t>
            </w:r>
            <w:r w:rsidRPr="00F733E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F733EE">
              <w:rPr>
                <w:rFonts w:cs="Times New Roman"/>
                <w:i/>
                <w:sz w:val="24"/>
                <w:szCs w:val="24"/>
              </w:rPr>
              <w:t>)</w:t>
            </w:r>
          </w:p>
        </w:tc>
      </w:tr>
    </w:tbl>
    <w:p w:rsidR="003D2116" w:rsidRPr="00F733EE" w:rsidRDefault="003D2116" w:rsidP="0067125A">
      <w:pPr>
        <w:pStyle w:val="a7"/>
        <w:spacing w:after="0"/>
        <w:ind w:left="0"/>
        <w:rPr>
          <w:rFonts w:eastAsia="Times New Roman" w:cs="Times New Roman"/>
          <w:b/>
          <w:sz w:val="24"/>
          <w:szCs w:val="24"/>
          <w:lang w:eastAsia="ru-RU"/>
        </w:rPr>
      </w:pPr>
    </w:p>
    <w:p w:rsidR="0067125A" w:rsidRDefault="0067125A" w:rsidP="0067125A">
      <w:pPr>
        <w:pStyle w:val="a7"/>
        <w:numPr>
          <w:ilvl w:val="0"/>
          <w:numId w:val="3"/>
        </w:numPr>
        <w:spacing w:after="0"/>
        <w:ind w:left="0"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733EE">
        <w:rPr>
          <w:rFonts w:eastAsia="Times New Roman" w:cs="Times New Roman"/>
          <w:b/>
          <w:sz w:val="24"/>
          <w:szCs w:val="24"/>
          <w:lang w:eastAsia="ru-RU"/>
        </w:rPr>
        <w:t>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p w:rsidR="003E6CBA" w:rsidRPr="00F733EE" w:rsidRDefault="003E6CBA" w:rsidP="003E6CBA">
      <w:pPr>
        <w:pStyle w:val="a7"/>
        <w:spacing w:after="0"/>
        <w:ind w:left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67125A" w:rsidRPr="00F733EE" w:rsidTr="00F70CD5">
        <w:tc>
          <w:tcPr>
            <w:tcW w:w="1667" w:type="pct"/>
          </w:tcPr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4.1.</w:t>
            </w:r>
          </w:p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67125A" w:rsidRPr="00F733EE" w:rsidRDefault="0067125A" w:rsidP="00F70CD5">
            <w:pPr>
              <w:jc w:val="center"/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4</w:t>
            </w:r>
            <w:r w:rsidRPr="00F733EE">
              <w:rPr>
                <w:sz w:val="24"/>
                <w:szCs w:val="24"/>
                <w:lang w:val="en-US"/>
              </w:rPr>
              <w:t>.2.</w:t>
            </w:r>
          </w:p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proofErr w:type="spellStart"/>
            <w:r w:rsidRPr="00F733EE">
              <w:rPr>
                <w:sz w:val="24"/>
                <w:szCs w:val="24"/>
                <w:lang w:val="en-US"/>
              </w:rPr>
              <w:t>Порядок</w:t>
            </w:r>
            <w:proofErr w:type="spellEnd"/>
            <w:r w:rsidRPr="00F733E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33EE">
              <w:rPr>
                <w:sz w:val="24"/>
                <w:szCs w:val="24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4.3.</w:t>
            </w:r>
          </w:p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67125A" w:rsidRPr="00F733EE" w:rsidTr="00F70CD5">
        <w:tc>
          <w:tcPr>
            <w:tcW w:w="1667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67125A" w:rsidRPr="00F733EE" w:rsidRDefault="003341AC" w:rsidP="00F70CD5">
            <w:pPr>
              <w:rPr>
                <w:sz w:val="24"/>
                <w:szCs w:val="24"/>
                <w:lang w:val="en-US"/>
              </w:rPr>
            </w:pPr>
            <w:r w:rsidRPr="003341AC">
              <w:rPr>
                <w:sz w:val="28"/>
                <w:szCs w:val="28"/>
              </w:rPr>
              <w:t>Данным проектом не предусмотрены</w:t>
            </w:r>
          </w:p>
        </w:tc>
      </w:tr>
      <w:tr w:rsidR="0067125A" w:rsidRPr="00F733EE" w:rsidTr="00F70CD5">
        <w:tc>
          <w:tcPr>
            <w:tcW w:w="1667" w:type="pct"/>
          </w:tcPr>
          <w:p w:rsidR="0067125A" w:rsidRPr="003341AC" w:rsidRDefault="0067125A" w:rsidP="003341AC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6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46F6" w:rsidRDefault="002C46F6" w:rsidP="002C46F6">
      <w:pPr>
        <w:pStyle w:val="a7"/>
        <w:spacing w:after="0"/>
        <w:ind w:left="0"/>
        <w:rPr>
          <w:rFonts w:eastAsia="Times New Roman" w:cs="Times New Roman"/>
          <w:b/>
          <w:sz w:val="24"/>
          <w:szCs w:val="24"/>
          <w:lang w:eastAsia="ru-RU"/>
        </w:rPr>
      </w:pPr>
    </w:p>
    <w:p w:rsidR="0067125A" w:rsidRPr="00F733EE" w:rsidRDefault="002C46F6" w:rsidP="002C46F6">
      <w:pPr>
        <w:pStyle w:val="a7"/>
        <w:spacing w:after="0"/>
        <w:ind w:left="0"/>
        <w:rPr>
          <w:rFonts w:eastAsia="Times New Roman" w:cs="Times New Roman"/>
          <w:b/>
          <w:sz w:val="24"/>
          <w:szCs w:val="24"/>
          <w:lang w:eastAsia="ru-RU"/>
        </w:rPr>
      </w:pPr>
      <w:r w:rsidRPr="002C46F6">
        <w:rPr>
          <w:rFonts w:eastAsia="Times New Roman" w:cs="Times New Roman"/>
          <w:b/>
          <w:sz w:val="24"/>
          <w:szCs w:val="24"/>
          <w:lang w:eastAsia="ru-RU"/>
        </w:rPr>
        <w:t>5.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7125A" w:rsidRPr="00F733EE">
        <w:rPr>
          <w:rFonts w:eastAsia="Times New Roman" w:cs="Times New Roman"/>
          <w:b/>
          <w:sz w:val="24"/>
          <w:szCs w:val="24"/>
          <w:lang w:eastAsia="ru-RU"/>
        </w:rPr>
        <w:t>Оценка соответствующих расходов (возможных поступлений) бюджета городского округа</w:t>
      </w:r>
      <w:r w:rsidR="0067125A">
        <w:rPr>
          <w:rFonts w:eastAsia="Times New Roman" w:cs="Times New Roman"/>
          <w:b/>
          <w:sz w:val="24"/>
          <w:szCs w:val="24"/>
          <w:lang w:eastAsia="ru-RU"/>
        </w:rPr>
        <w:t xml:space="preserve"> город Октябрьский </w:t>
      </w:r>
      <w:r w:rsidR="0067125A" w:rsidRPr="00F733EE">
        <w:rPr>
          <w:rFonts w:eastAsia="Times New Roman" w:cs="Times New Roman"/>
          <w:b/>
          <w:sz w:val="24"/>
          <w:szCs w:val="24"/>
          <w:lang w:eastAsia="ru-RU"/>
        </w:rPr>
        <w:t>Республики Башкортостан</w:t>
      </w:r>
    </w:p>
    <w:p w:rsidR="0067125A" w:rsidRPr="00F733EE" w:rsidRDefault="0067125A" w:rsidP="0067125A">
      <w:pPr>
        <w:pStyle w:val="a7"/>
        <w:spacing w:after="0"/>
        <w:ind w:left="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2500"/>
        <w:gridCol w:w="777"/>
        <w:gridCol w:w="2374"/>
        <w:gridCol w:w="3143"/>
      </w:tblGrid>
      <w:tr w:rsidR="0067125A" w:rsidRPr="00F733EE" w:rsidTr="00F70CD5">
        <w:tc>
          <w:tcPr>
            <w:tcW w:w="1712" w:type="pct"/>
            <w:gridSpan w:val="2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5.1. Наименование новой или изменяемой функции, полномочия, обязанности или права</w:t>
            </w:r>
          </w:p>
        </w:tc>
        <w:tc>
          <w:tcPr>
            <w:tcW w:w="1646" w:type="pct"/>
            <w:gridSpan w:val="2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 xml:space="preserve">5.2. Описание видов расходов (возможных поступлений) бюджета </w:t>
            </w:r>
            <w:r>
              <w:rPr>
                <w:sz w:val="24"/>
                <w:szCs w:val="24"/>
              </w:rPr>
              <w:t xml:space="preserve">городского округа </w:t>
            </w:r>
            <w:r w:rsidRPr="00F733EE">
              <w:rPr>
                <w:sz w:val="24"/>
                <w:szCs w:val="24"/>
              </w:rPr>
              <w:t>Республики Башкортостан</w:t>
            </w:r>
          </w:p>
        </w:tc>
        <w:tc>
          <w:tcPr>
            <w:tcW w:w="1642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5.3. Количественная оценка расходов (возможных поступлений)</w:t>
            </w:r>
          </w:p>
        </w:tc>
      </w:tr>
      <w:tr w:rsidR="0067125A" w:rsidRPr="00F733EE" w:rsidTr="00F70CD5"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Наименование органа</w:t>
            </w:r>
            <w:r w:rsidRPr="00F733EE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3288" w:type="pct"/>
            <w:gridSpan w:val="3"/>
          </w:tcPr>
          <w:p w:rsidR="0067125A" w:rsidRPr="003341AC" w:rsidRDefault="009B520E" w:rsidP="00F70CD5">
            <w:pPr>
              <w:rPr>
                <w:sz w:val="28"/>
                <w:szCs w:val="28"/>
              </w:rPr>
            </w:pPr>
            <w:r w:rsidRPr="003341AC">
              <w:rPr>
                <w:sz w:val="28"/>
                <w:szCs w:val="28"/>
              </w:rPr>
              <w:t xml:space="preserve">Не требует </w:t>
            </w:r>
            <w:r w:rsidR="00654E86">
              <w:rPr>
                <w:sz w:val="28"/>
                <w:szCs w:val="28"/>
              </w:rPr>
              <w:t xml:space="preserve">дополнительного </w:t>
            </w:r>
            <w:r w:rsidRPr="003341AC">
              <w:rPr>
                <w:sz w:val="28"/>
                <w:szCs w:val="28"/>
              </w:rPr>
              <w:t>расходования средств</w:t>
            </w:r>
            <w:r w:rsidR="006C16C4">
              <w:rPr>
                <w:sz w:val="28"/>
                <w:szCs w:val="28"/>
              </w:rPr>
              <w:t xml:space="preserve"> из бюджета городского округа</w:t>
            </w:r>
          </w:p>
        </w:tc>
      </w:tr>
      <w:tr w:rsidR="0067125A" w:rsidRPr="00F733EE" w:rsidTr="00F70CD5">
        <w:tc>
          <w:tcPr>
            <w:tcW w:w="406" w:type="pct"/>
            <w:vMerge w:val="restar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.1.</w:t>
            </w:r>
          </w:p>
        </w:tc>
        <w:tc>
          <w:tcPr>
            <w:tcW w:w="1306" w:type="pct"/>
            <w:vMerge w:val="restar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.2.</w:t>
            </w:r>
          </w:p>
        </w:tc>
        <w:tc>
          <w:tcPr>
            <w:tcW w:w="1240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Единовременные расходы в год возникновения:</w:t>
            </w:r>
          </w:p>
        </w:tc>
        <w:tc>
          <w:tcPr>
            <w:tcW w:w="1642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:rsidTr="00F70CD5">
        <w:tc>
          <w:tcPr>
            <w:tcW w:w="406" w:type="pct"/>
            <w:vMerge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vMerge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.3.</w:t>
            </w:r>
          </w:p>
        </w:tc>
        <w:tc>
          <w:tcPr>
            <w:tcW w:w="1240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Периодические расходы за период</w:t>
            </w:r>
            <w:r w:rsidRPr="00F733EE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642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:rsidTr="00F70CD5">
        <w:tc>
          <w:tcPr>
            <w:tcW w:w="406" w:type="pct"/>
            <w:vMerge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vMerge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.4.</w:t>
            </w:r>
          </w:p>
        </w:tc>
        <w:tc>
          <w:tcPr>
            <w:tcW w:w="1240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Возможные поступления за период</w:t>
            </w:r>
            <w:r w:rsidRPr="00F733EE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642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:rsidTr="00F70CD5"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5.5</w:t>
            </w:r>
          </w:p>
        </w:tc>
        <w:tc>
          <w:tcPr>
            <w:tcW w:w="2952" w:type="pct"/>
            <w:gridSpan w:val="3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1642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</w:p>
        </w:tc>
      </w:tr>
      <w:tr w:rsidR="0067125A" w:rsidRPr="00F733EE" w:rsidTr="00F70CD5"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.6.</w:t>
            </w:r>
          </w:p>
        </w:tc>
        <w:tc>
          <w:tcPr>
            <w:tcW w:w="2952" w:type="pct"/>
            <w:gridSpan w:val="3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1642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:rsidTr="00F70CD5"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.7.</w:t>
            </w:r>
          </w:p>
        </w:tc>
        <w:tc>
          <w:tcPr>
            <w:tcW w:w="2952" w:type="pct"/>
            <w:gridSpan w:val="3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1642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:rsidTr="00F70CD5"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.8.</w:t>
            </w:r>
          </w:p>
        </w:tc>
        <w:tc>
          <w:tcPr>
            <w:tcW w:w="4594" w:type="pct"/>
            <w:gridSpan w:val="4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 xml:space="preserve">Иные сведения о расходах (возможных поступлениях) </w:t>
            </w:r>
            <w:proofErr w:type="gramStart"/>
            <w:r w:rsidRPr="00F733EE">
              <w:rPr>
                <w:sz w:val="24"/>
                <w:szCs w:val="24"/>
              </w:rPr>
              <w:t xml:space="preserve">бюджета </w:t>
            </w:r>
            <w:r>
              <w:rPr>
                <w:sz w:val="24"/>
                <w:szCs w:val="24"/>
              </w:rPr>
              <w:t xml:space="preserve"> городского</w:t>
            </w:r>
            <w:proofErr w:type="gramEnd"/>
            <w:r>
              <w:rPr>
                <w:sz w:val="24"/>
                <w:szCs w:val="24"/>
              </w:rPr>
              <w:t xml:space="preserve"> округа </w:t>
            </w:r>
            <w:r w:rsidRPr="00F733EE">
              <w:rPr>
                <w:sz w:val="24"/>
                <w:szCs w:val="24"/>
              </w:rPr>
              <w:t>Республики Башкортостан:</w:t>
            </w:r>
          </w:p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67125A" w:rsidRPr="00F733EE" w:rsidTr="00F70CD5"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.9.</w:t>
            </w:r>
          </w:p>
        </w:tc>
        <w:tc>
          <w:tcPr>
            <w:tcW w:w="4594" w:type="pct"/>
            <w:gridSpan w:val="4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Источники данных:</w:t>
            </w:r>
          </w:p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i/>
                <w:sz w:val="24"/>
                <w:szCs w:val="24"/>
              </w:rPr>
              <w:t xml:space="preserve"> (место для текстового описания)</w:t>
            </w:r>
          </w:p>
        </w:tc>
      </w:tr>
    </w:tbl>
    <w:p w:rsidR="0067125A" w:rsidRPr="00F733EE" w:rsidRDefault="0067125A" w:rsidP="0067125A">
      <w:pPr>
        <w:pStyle w:val="a7"/>
        <w:numPr>
          <w:ilvl w:val="0"/>
          <w:numId w:val="2"/>
        </w:numPr>
        <w:spacing w:before="240"/>
        <w:ind w:left="-142"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733EE">
        <w:rPr>
          <w:rFonts w:eastAsia="Times New Roman" w:cs="Times New Roman"/>
          <w:b/>
          <w:sz w:val="24"/>
          <w:szCs w:val="24"/>
          <w:lang w:eastAsia="ru-RU"/>
        </w:rPr>
        <w:t>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67125A" w:rsidRPr="00F733EE" w:rsidRDefault="0067125A" w:rsidP="0067125A">
      <w:pPr>
        <w:pStyle w:val="a7"/>
        <w:spacing w:before="240"/>
        <w:ind w:left="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67125A" w:rsidRPr="00F733EE" w:rsidTr="00F70CD5">
        <w:tc>
          <w:tcPr>
            <w:tcW w:w="1667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 xml:space="preserve">6.1. Группа участников </w:t>
            </w:r>
            <w:r w:rsidRPr="00F733EE">
              <w:rPr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1667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lastRenderedPageBreak/>
              <w:t xml:space="preserve">6.2. Описание новых или </w:t>
            </w:r>
            <w:r w:rsidRPr="00F733EE">
              <w:rPr>
                <w:sz w:val="24"/>
                <w:szCs w:val="24"/>
              </w:rPr>
              <w:lastRenderedPageBreak/>
              <w:t>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lastRenderedPageBreak/>
              <w:t xml:space="preserve">6.3.Порядок организации </w:t>
            </w:r>
            <w:r w:rsidRPr="00F733EE">
              <w:rPr>
                <w:sz w:val="24"/>
                <w:szCs w:val="24"/>
              </w:rPr>
              <w:lastRenderedPageBreak/>
              <w:t>исполнения обязанностей и ограничений</w:t>
            </w:r>
          </w:p>
        </w:tc>
      </w:tr>
      <w:tr w:rsidR="0067125A" w:rsidRPr="00F733EE" w:rsidTr="00F70CD5">
        <w:trPr>
          <w:trHeight w:val="192"/>
        </w:trPr>
        <w:tc>
          <w:tcPr>
            <w:tcW w:w="5000" w:type="pct"/>
            <w:gridSpan w:val="3"/>
          </w:tcPr>
          <w:p w:rsidR="009B520E" w:rsidRPr="009B520E" w:rsidRDefault="00F1223C" w:rsidP="003D2116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FA7C50">
              <w:rPr>
                <w:sz w:val="28"/>
                <w:szCs w:val="28"/>
              </w:rPr>
              <w:t>е изменяет обязанности, запреты и ограничения в сфере осуществления предпринимательской деятельности</w:t>
            </w:r>
          </w:p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:rsidTr="00F70CD5">
        <w:trPr>
          <w:trHeight w:val="192"/>
        </w:trPr>
        <w:tc>
          <w:tcPr>
            <w:tcW w:w="1667" w:type="pct"/>
            <w:vMerge w:val="restar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:rsidTr="00F70CD5">
        <w:trPr>
          <w:trHeight w:val="192"/>
        </w:trPr>
        <w:tc>
          <w:tcPr>
            <w:tcW w:w="1667" w:type="pct"/>
            <w:vMerge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67125A" w:rsidRDefault="0067125A" w:rsidP="00F70CD5">
            <w:pPr>
              <w:rPr>
                <w:sz w:val="24"/>
                <w:szCs w:val="24"/>
              </w:rPr>
            </w:pPr>
          </w:p>
          <w:p w:rsidR="00186FD3" w:rsidRPr="009B520E" w:rsidRDefault="00186FD3" w:rsidP="00F70CD5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</w:tr>
    </w:tbl>
    <w:p w:rsidR="0067125A" w:rsidRPr="00F733EE" w:rsidRDefault="0067125A" w:rsidP="0067125A">
      <w:pPr>
        <w:jc w:val="center"/>
        <w:rPr>
          <w:sz w:val="24"/>
          <w:szCs w:val="24"/>
        </w:rPr>
      </w:pPr>
    </w:p>
    <w:p w:rsidR="0067125A" w:rsidRPr="00F733EE" w:rsidRDefault="0067125A" w:rsidP="0067125A">
      <w:pPr>
        <w:pStyle w:val="a7"/>
        <w:numPr>
          <w:ilvl w:val="0"/>
          <w:numId w:val="2"/>
        </w:numPr>
        <w:spacing w:after="0"/>
        <w:ind w:left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733EE">
        <w:rPr>
          <w:rFonts w:eastAsia="Times New Roman" w:cs="Times New Roman"/>
          <w:b/>
          <w:sz w:val="24"/>
          <w:szCs w:val="24"/>
          <w:lang w:eastAsia="ru-RU"/>
        </w:rPr>
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67125A" w:rsidRPr="00F733EE" w:rsidRDefault="0067125A" w:rsidP="0067125A">
      <w:pPr>
        <w:pStyle w:val="a7"/>
        <w:spacing w:after="0"/>
        <w:ind w:left="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67125A" w:rsidRPr="00F733EE" w:rsidTr="00F70CD5">
        <w:tc>
          <w:tcPr>
            <w:tcW w:w="1667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7.1. Группа участников отношений</w:t>
            </w:r>
          </w:p>
        </w:tc>
        <w:tc>
          <w:tcPr>
            <w:tcW w:w="1667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7.2. Описание новых или изменения содержания существующих обязанностей и ограничений</w:t>
            </w:r>
            <w:r w:rsidRPr="00F733EE">
              <w:rPr>
                <w:rStyle w:val="aa"/>
                <w:sz w:val="24"/>
                <w:szCs w:val="24"/>
              </w:rPr>
              <w:footnoteReference w:id="1"/>
            </w:r>
          </w:p>
        </w:tc>
        <w:tc>
          <w:tcPr>
            <w:tcW w:w="1666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7.3. Описание и оценка видов расходов (доходов)</w:t>
            </w:r>
          </w:p>
        </w:tc>
      </w:tr>
      <w:tr w:rsidR="0067125A" w:rsidRPr="00F733EE" w:rsidTr="00F70CD5">
        <w:trPr>
          <w:trHeight w:val="192"/>
        </w:trPr>
        <w:tc>
          <w:tcPr>
            <w:tcW w:w="5000" w:type="pct"/>
            <w:gridSpan w:val="3"/>
          </w:tcPr>
          <w:p w:rsidR="0067125A" w:rsidRPr="004E549F" w:rsidRDefault="009B520E" w:rsidP="0071045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E549F">
              <w:rPr>
                <w:sz w:val="28"/>
                <w:szCs w:val="28"/>
              </w:rPr>
              <w:t>Не требует расходования средств</w:t>
            </w:r>
            <w:r w:rsidR="00710450">
              <w:rPr>
                <w:sz w:val="28"/>
                <w:szCs w:val="28"/>
              </w:rPr>
              <w:t xml:space="preserve"> субъектами предпринимательской деятельности</w:t>
            </w:r>
          </w:p>
        </w:tc>
      </w:tr>
      <w:tr w:rsidR="0067125A" w:rsidRPr="00F733EE" w:rsidTr="00F70CD5">
        <w:trPr>
          <w:trHeight w:val="192"/>
        </w:trPr>
        <w:tc>
          <w:tcPr>
            <w:tcW w:w="1667" w:type="pct"/>
            <w:vMerge w:val="restar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:rsidTr="00F70CD5">
        <w:trPr>
          <w:trHeight w:val="192"/>
        </w:trPr>
        <w:tc>
          <w:tcPr>
            <w:tcW w:w="1667" w:type="pct"/>
            <w:vMerge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</w:tr>
    </w:tbl>
    <w:p w:rsidR="0067125A" w:rsidRPr="00F733EE" w:rsidRDefault="0067125A" w:rsidP="0067125A">
      <w:pPr>
        <w:jc w:val="center"/>
        <w:rPr>
          <w:sz w:val="24"/>
          <w:szCs w:val="24"/>
        </w:rPr>
      </w:pPr>
    </w:p>
    <w:p w:rsidR="0067125A" w:rsidRPr="00F733EE" w:rsidRDefault="0067125A" w:rsidP="0067125A">
      <w:pPr>
        <w:pStyle w:val="a7"/>
        <w:numPr>
          <w:ilvl w:val="0"/>
          <w:numId w:val="2"/>
        </w:numPr>
        <w:spacing w:after="0"/>
        <w:jc w:val="center"/>
        <w:rPr>
          <w:rFonts w:cs="Times New Roman"/>
          <w:b/>
          <w:sz w:val="24"/>
          <w:szCs w:val="24"/>
        </w:rPr>
      </w:pPr>
      <w:r w:rsidRPr="00F733EE">
        <w:rPr>
          <w:rFonts w:cs="Times New Roman"/>
          <w:b/>
          <w:sz w:val="24"/>
          <w:szCs w:val="24"/>
        </w:rPr>
        <w:t>Иные сведения, которые, по мнению разработчика, позволяют оценить обоснованность предлагаемого регулирования</w:t>
      </w:r>
    </w:p>
    <w:p w:rsidR="0067125A" w:rsidRPr="00F733EE" w:rsidRDefault="0067125A" w:rsidP="0067125A">
      <w:pPr>
        <w:pStyle w:val="a7"/>
        <w:spacing w:after="0"/>
        <w:ind w:left="126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2"/>
        <w:gridCol w:w="8859"/>
      </w:tblGrid>
      <w:tr w:rsidR="0067125A" w:rsidRPr="00F733EE" w:rsidTr="00F70CD5">
        <w:tc>
          <w:tcPr>
            <w:tcW w:w="372" w:type="pct"/>
          </w:tcPr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8.1</w:t>
            </w:r>
            <w:r w:rsidRPr="004E549F">
              <w:rPr>
                <w:sz w:val="24"/>
                <w:szCs w:val="24"/>
              </w:rPr>
              <w:t>.</w:t>
            </w:r>
          </w:p>
        </w:tc>
        <w:tc>
          <w:tcPr>
            <w:tcW w:w="4628" w:type="pct"/>
          </w:tcPr>
          <w:p w:rsidR="0067125A" w:rsidRDefault="0067125A" w:rsidP="00F70CD5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Иные необходимые, по мнению разработчика, сведения:</w:t>
            </w:r>
          </w:p>
          <w:p w:rsidR="0067125A" w:rsidRPr="00F733EE" w:rsidRDefault="00710450" w:rsidP="00994332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7125A" w:rsidRPr="00F733EE" w:rsidRDefault="0067125A" w:rsidP="0067125A">
      <w:pPr>
        <w:rPr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2335"/>
        <w:gridCol w:w="2178"/>
      </w:tblGrid>
      <w:tr w:rsidR="0067125A" w:rsidRPr="00F733EE" w:rsidTr="00F70CD5">
        <w:tc>
          <w:tcPr>
            <w:tcW w:w="2642" w:type="pct"/>
            <w:vAlign w:val="bottom"/>
          </w:tcPr>
          <w:p w:rsidR="0067125A" w:rsidRDefault="0067125A" w:rsidP="00DB7249">
            <w:pPr>
              <w:rPr>
                <w:sz w:val="22"/>
                <w:szCs w:val="22"/>
              </w:rPr>
            </w:pPr>
            <w:r w:rsidRPr="00DB7249">
              <w:rPr>
                <w:sz w:val="22"/>
                <w:szCs w:val="22"/>
              </w:rPr>
              <w:t>Руководитель структурного подразделения разработчика, ответственного за подготовку проекта акта</w:t>
            </w:r>
          </w:p>
          <w:p w:rsidR="00F1223C" w:rsidRPr="00DB7249" w:rsidRDefault="00F1223C" w:rsidP="00DB7249">
            <w:pPr>
              <w:rPr>
                <w:sz w:val="22"/>
                <w:szCs w:val="22"/>
              </w:rPr>
            </w:pPr>
          </w:p>
          <w:p w:rsidR="0067125A" w:rsidRPr="003E6CBA" w:rsidRDefault="003F3863" w:rsidP="00F70CD5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Р.Р.Гизатуллин</w:t>
            </w:r>
            <w:proofErr w:type="spellEnd"/>
          </w:p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i/>
                <w:sz w:val="24"/>
                <w:szCs w:val="24"/>
              </w:rPr>
              <w:t>(инициалы, фамилия)</w:t>
            </w:r>
          </w:p>
        </w:tc>
        <w:tc>
          <w:tcPr>
            <w:tcW w:w="1220" w:type="pct"/>
            <w:vAlign w:val="bottom"/>
          </w:tcPr>
          <w:p w:rsidR="0067125A" w:rsidRPr="00F733EE" w:rsidRDefault="00186FD3" w:rsidP="00F70CD5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bookmarkStart w:id="0" w:name="_GoBack"/>
            <w:bookmarkEnd w:id="0"/>
            <w:r w:rsidR="00710450">
              <w:rPr>
                <w:sz w:val="24"/>
                <w:szCs w:val="24"/>
              </w:rPr>
              <w:t>.04.2024</w:t>
            </w:r>
          </w:p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Дата</w:t>
            </w:r>
          </w:p>
        </w:tc>
        <w:tc>
          <w:tcPr>
            <w:tcW w:w="1138" w:type="pct"/>
            <w:vAlign w:val="bottom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</w:p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Подпись</w:t>
            </w:r>
          </w:p>
        </w:tc>
      </w:tr>
    </w:tbl>
    <w:p w:rsidR="0067125A" w:rsidRDefault="0067125A" w:rsidP="00F1223C">
      <w:pPr>
        <w:pStyle w:val="ConsPlusNormal"/>
        <w:outlineLvl w:val="1"/>
        <w:rPr>
          <w:rFonts w:cstheme="minorBidi"/>
          <w:bCs/>
          <w:sz w:val="24"/>
          <w:szCs w:val="24"/>
        </w:rPr>
      </w:pPr>
    </w:p>
    <w:sectPr w:rsidR="0067125A" w:rsidSect="00C558E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34E" w:rsidRDefault="00A8634E" w:rsidP="0067125A">
      <w:r>
        <w:separator/>
      </w:r>
    </w:p>
  </w:endnote>
  <w:endnote w:type="continuationSeparator" w:id="0">
    <w:p w:rsidR="00A8634E" w:rsidRDefault="00A8634E" w:rsidP="0067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34E" w:rsidRDefault="00A8634E" w:rsidP="0067125A">
      <w:r>
        <w:separator/>
      </w:r>
    </w:p>
  </w:footnote>
  <w:footnote w:type="continuationSeparator" w:id="0">
    <w:p w:rsidR="00A8634E" w:rsidRDefault="00A8634E" w:rsidP="0067125A">
      <w:r>
        <w:continuationSeparator/>
      </w:r>
    </w:p>
  </w:footnote>
  <w:footnote w:id="1">
    <w:p w:rsidR="0067125A" w:rsidRPr="00F1223C" w:rsidRDefault="0067125A" w:rsidP="00F1223C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6E4A"/>
    <w:multiLevelType w:val="hybridMultilevel"/>
    <w:tmpl w:val="0208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C7D30"/>
    <w:multiLevelType w:val="hybridMultilevel"/>
    <w:tmpl w:val="0D282830"/>
    <w:lvl w:ilvl="0" w:tplc="547CA7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F6053F"/>
    <w:multiLevelType w:val="hybridMultilevel"/>
    <w:tmpl w:val="04822FCA"/>
    <w:lvl w:ilvl="0" w:tplc="18967A1C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84"/>
    <w:rsid w:val="00037275"/>
    <w:rsid w:val="000500A4"/>
    <w:rsid w:val="00061DF8"/>
    <w:rsid w:val="000A7A4D"/>
    <w:rsid w:val="000E337A"/>
    <w:rsid w:val="00136FDA"/>
    <w:rsid w:val="00150D14"/>
    <w:rsid w:val="00186FD3"/>
    <w:rsid w:val="001C5CAE"/>
    <w:rsid w:val="001D176B"/>
    <w:rsid w:val="0022392A"/>
    <w:rsid w:val="00231951"/>
    <w:rsid w:val="00264D76"/>
    <w:rsid w:val="002B253F"/>
    <w:rsid w:val="002C46F6"/>
    <w:rsid w:val="002F5314"/>
    <w:rsid w:val="0030010E"/>
    <w:rsid w:val="003341AC"/>
    <w:rsid w:val="00340C69"/>
    <w:rsid w:val="00360D71"/>
    <w:rsid w:val="003646EC"/>
    <w:rsid w:val="003B3155"/>
    <w:rsid w:val="003C39FE"/>
    <w:rsid w:val="003D2116"/>
    <w:rsid w:val="003D69E9"/>
    <w:rsid w:val="003E6CBA"/>
    <w:rsid w:val="003F3863"/>
    <w:rsid w:val="00424AE0"/>
    <w:rsid w:val="00437449"/>
    <w:rsid w:val="00462F82"/>
    <w:rsid w:val="00470A50"/>
    <w:rsid w:val="004D5BF7"/>
    <w:rsid w:val="004E08F3"/>
    <w:rsid w:val="004E549F"/>
    <w:rsid w:val="00540AF0"/>
    <w:rsid w:val="00542470"/>
    <w:rsid w:val="0057068B"/>
    <w:rsid w:val="0057499E"/>
    <w:rsid w:val="005A4CF8"/>
    <w:rsid w:val="005A5880"/>
    <w:rsid w:val="00632597"/>
    <w:rsid w:val="00654E86"/>
    <w:rsid w:val="0067125A"/>
    <w:rsid w:val="00695B52"/>
    <w:rsid w:val="006A1960"/>
    <w:rsid w:val="006B160D"/>
    <w:rsid w:val="006B79B4"/>
    <w:rsid w:val="006C16C4"/>
    <w:rsid w:val="006E3075"/>
    <w:rsid w:val="00710450"/>
    <w:rsid w:val="00714FF5"/>
    <w:rsid w:val="00736F1E"/>
    <w:rsid w:val="00812F69"/>
    <w:rsid w:val="008246B6"/>
    <w:rsid w:val="008436AD"/>
    <w:rsid w:val="00857984"/>
    <w:rsid w:val="00872D3F"/>
    <w:rsid w:val="008F13FE"/>
    <w:rsid w:val="00911ED1"/>
    <w:rsid w:val="00921C39"/>
    <w:rsid w:val="00925629"/>
    <w:rsid w:val="00977AF7"/>
    <w:rsid w:val="00994332"/>
    <w:rsid w:val="009B2DBD"/>
    <w:rsid w:val="009B520E"/>
    <w:rsid w:val="009D11E6"/>
    <w:rsid w:val="00A66F14"/>
    <w:rsid w:val="00A76D24"/>
    <w:rsid w:val="00A82600"/>
    <w:rsid w:val="00A8634E"/>
    <w:rsid w:val="00AA389F"/>
    <w:rsid w:val="00AC4BE5"/>
    <w:rsid w:val="00B00B1B"/>
    <w:rsid w:val="00B06668"/>
    <w:rsid w:val="00B10161"/>
    <w:rsid w:val="00B515A5"/>
    <w:rsid w:val="00B6792B"/>
    <w:rsid w:val="00B71633"/>
    <w:rsid w:val="00B755B3"/>
    <w:rsid w:val="00BB1D42"/>
    <w:rsid w:val="00BE5F7E"/>
    <w:rsid w:val="00C01544"/>
    <w:rsid w:val="00C05EEA"/>
    <w:rsid w:val="00C17E9E"/>
    <w:rsid w:val="00C267A9"/>
    <w:rsid w:val="00C40BDB"/>
    <w:rsid w:val="00C516AB"/>
    <w:rsid w:val="00C558E5"/>
    <w:rsid w:val="00C95E4F"/>
    <w:rsid w:val="00D17738"/>
    <w:rsid w:val="00D537F1"/>
    <w:rsid w:val="00D543C4"/>
    <w:rsid w:val="00D56027"/>
    <w:rsid w:val="00D66069"/>
    <w:rsid w:val="00D669AB"/>
    <w:rsid w:val="00D80A75"/>
    <w:rsid w:val="00D939A3"/>
    <w:rsid w:val="00DB7249"/>
    <w:rsid w:val="00DC4842"/>
    <w:rsid w:val="00DF1B1D"/>
    <w:rsid w:val="00E15CA0"/>
    <w:rsid w:val="00E91C7B"/>
    <w:rsid w:val="00E94B86"/>
    <w:rsid w:val="00EA3973"/>
    <w:rsid w:val="00EC7DF1"/>
    <w:rsid w:val="00ED3B98"/>
    <w:rsid w:val="00EF271C"/>
    <w:rsid w:val="00F02BE0"/>
    <w:rsid w:val="00F1223C"/>
    <w:rsid w:val="00F31902"/>
    <w:rsid w:val="00F43C9D"/>
    <w:rsid w:val="00F44E1B"/>
    <w:rsid w:val="00F707A4"/>
    <w:rsid w:val="00FA5713"/>
    <w:rsid w:val="00FA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7FFF9-4FD6-4189-931D-D23277F3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0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36F1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36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736F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36F1E"/>
    <w:rPr>
      <w:color w:val="0000FF"/>
      <w:u w:val="single"/>
    </w:rPr>
  </w:style>
  <w:style w:type="paragraph" w:customStyle="1" w:styleId="formattext">
    <w:name w:val="formattext"/>
    <w:basedOn w:val="a"/>
    <w:rsid w:val="003C39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64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64D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0">
    <w:name w:val="consplusnormal"/>
    <w:basedOn w:val="a"/>
    <w:rsid w:val="00340C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340C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340C69"/>
    <w:rPr>
      <w:b/>
      <w:bCs/>
    </w:rPr>
  </w:style>
  <w:style w:type="paragraph" w:styleId="a7">
    <w:name w:val="List Paragraph"/>
    <w:basedOn w:val="a"/>
    <w:uiPriority w:val="34"/>
    <w:qFormat/>
    <w:rsid w:val="0067125A"/>
    <w:pPr>
      <w:widowControl/>
      <w:autoSpaceDE/>
      <w:autoSpaceDN/>
      <w:adjustRightInd/>
      <w:spacing w:after="200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67125A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67125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125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B72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72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Волик</dc:creator>
  <cp:lastModifiedBy>Пользователь</cp:lastModifiedBy>
  <cp:revision>27</cp:revision>
  <cp:lastPrinted>2021-10-20T12:30:00Z</cp:lastPrinted>
  <dcterms:created xsi:type="dcterms:W3CDTF">2020-08-31T12:03:00Z</dcterms:created>
  <dcterms:modified xsi:type="dcterms:W3CDTF">2024-04-26T10:37:00Z</dcterms:modified>
</cp:coreProperties>
</file>